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B2870">
        <w:rPr>
          <w:rFonts w:ascii="Arial" w:eastAsia="宋体" w:hAnsi="Arial" w:cs="Times New Roman"/>
          <w:b/>
          <w:sz w:val="24"/>
          <w:szCs w:val="20"/>
          <w:lang w:val="en-GB"/>
        </w:rPr>
        <w:t>WG4 Meeting #</w:t>
      </w:r>
      <w:r w:rsidR="00F50BCA">
        <w:rPr>
          <w:rFonts w:ascii="Arial" w:eastAsia="宋体" w:hAnsi="Arial" w:cs="Times New Roman"/>
          <w:b/>
          <w:sz w:val="24"/>
          <w:szCs w:val="20"/>
          <w:lang w:val="en-GB"/>
        </w:rPr>
        <w:t>90</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CC259C" w:rsidRPr="00CC259C">
        <w:rPr>
          <w:rFonts w:ascii="Arial" w:eastAsia="宋体" w:hAnsi="Arial" w:cs="Times New Roman"/>
          <w:b/>
          <w:bCs/>
          <w:sz w:val="24"/>
          <w:szCs w:val="20"/>
          <w:lang w:val="en-GB" w:eastAsia="zh-CN"/>
        </w:rPr>
        <w:t>190189</w:t>
      </w:r>
      <w:r w:rsidR="00CC259C">
        <w:rPr>
          <w:rFonts w:ascii="Arial" w:eastAsia="宋体" w:hAnsi="Arial" w:cs="Times New Roman"/>
          <w:b/>
          <w:bCs/>
          <w:sz w:val="24"/>
          <w:szCs w:val="20"/>
          <w:lang w:val="en-GB" w:eastAsia="zh-CN"/>
        </w:rPr>
        <w:t>9</w:t>
      </w:r>
    </w:p>
    <w:p w:rsidR="00841BCD" w:rsidRPr="00841BCD" w:rsidRDefault="00F50BCA"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Athens</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Greece</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Feb</w:t>
      </w:r>
      <w:r w:rsidR="00ED7600">
        <w:rPr>
          <w:rFonts w:ascii="Arial" w:eastAsia="宋体" w:hAnsi="Arial" w:cs="Times New Roman"/>
          <w:b/>
          <w:sz w:val="24"/>
          <w:szCs w:val="20"/>
          <w:lang w:val="en-GB"/>
        </w:rPr>
        <w:t xml:space="preserve"> </w:t>
      </w:r>
      <w:r w:rsidR="001B2870">
        <w:rPr>
          <w:rFonts w:ascii="Arial" w:eastAsia="宋体" w:hAnsi="Arial" w:cs="Times New Roman"/>
          <w:b/>
          <w:sz w:val="24"/>
          <w:szCs w:val="20"/>
          <w:lang w:val="en-GB"/>
        </w:rPr>
        <w:t>2</w:t>
      </w:r>
      <w:r>
        <w:rPr>
          <w:rFonts w:ascii="Arial" w:eastAsia="宋体" w:hAnsi="Arial" w:cs="Times New Roman"/>
          <w:b/>
          <w:sz w:val="24"/>
          <w:szCs w:val="20"/>
          <w:lang w:val="en-GB"/>
        </w:rPr>
        <w:t>5</w:t>
      </w:r>
      <w:r>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Mar 1</w:t>
      </w:r>
      <w:r>
        <w:rPr>
          <w:rFonts w:ascii="Arial" w:eastAsia="宋体" w:hAnsi="Arial" w:cs="Times New Roman"/>
          <w:b/>
          <w:sz w:val="24"/>
          <w:szCs w:val="20"/>
          <w:vertAlign w:val="superscript"/>
          <w:lang w:val="en-GB"/>
        </w:rPr>
        <w:t>st</w:t>
      </w:r>
      <w:r w:rsidR="00D400AE">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8F3120">
        <w:rPr>
          <w:rFonts w:ascii="Arial" w:eastAsia="宋体"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50BCA">
        <w:rPr>
          <w:rFonts w:ascii="Arial" w:eastAsia="Calibri" w:hAnsi="Arial" w:cs="Arial"/>
          <w:b/>
          <w:bCs/>
          <w:sz w:val="24"/>
          <w:lang w:val="en-GB"/>
        </w:rPr>
        <w:t xml:space="preserve">Discussion on </w:t>
      </w:r>
      <w:r w:rsidR="00B26D77">
        <w:rPr>
          <w:rFonts w:ascii="Arial" w:eastAsia="Calibri" w:hAnsi="Arial" w:cs="Arial"/>
          <w:b/>
          <w:bCs/>
          <w:sz w:val="24"/>
          <w:lang w:val="en-GB"/>
        </w:rPr>
        <w:t xml:space="preserve">MTTD </w:t>
      </w:r>
      <w:r w:rsidR="00C1368E">
        <w:rPr>
          <w:rFonts w:ascii="Arial" w:eastAsia="Calibri" w:hAnsi="Arial" w:cs="Arial"/>
          <w:b/>
          <w:bCs/>
          <w:sz w:val="24"/>
          <w:lang w:val="en-GB"/>
        </w:rPr>
        <w:t xml:space="preserve">and MRTD </w:t>
      </w:r>
      <w:r w:rsidR="00B26D77">
        <w:rPr>
          <w:rFonts w:ascii="Arial" w:eastAsia="Calibri" w:hAnsi="Arial" w:cs="Arial"/>
          <w:b/>
          <w:bCs/>
          <w:sz w:val="24"/>
          <w:lang w:val="en-GB"/>
        </w:rPr>
        <w:t xml:space="preserve">in inter-band </w:t>
      </w:r>
      <w:r w:rsidR="00C1368E">
        <w:rPr>
          <w:rFonts w:ascii="Arial" w:eastAsia="Calibri" w:hAnsi="Arial" w:cs="Arial"/>
          <w:b/>
          <w:bCs/>
          <w:sz w:val="24"/>
          <w:lang w:val="en-GB"/>
        </w:rPr>
        <w:t xml:space="preserve">sync </w:t>
      </w:r>
      <w:r w:rsidR="00B26D77">
        <w:rPr>
          <w:rFonts w:ascii="Arial" w:eastAsia="Calibri" w:hAnsi="Arial" w:cs="Arial"/>
          <w:b/>
          <w:bCs/>
          <w:sz w:val="24"/>
          <w:lang w:val="en-GB"/>
        </w:rPr>
        <w:t>EN-DC</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3A0F" w:rsidRPr="00D13A0F">
        <w:rPr>
          <w:rFonts w:ascii="Arial" w:eastAsia="MS Mincho" w:hAnsi="Arial" w:cs="Arial"/>
          <w:b/>
          <w:bCs/>
          <w:sz w:val="24"/>
          <w:szCs w:val="20"/>
          <w:lang w:val="en-GB"/>
        </w:rPr>
        <w:t>6</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12</w:t>
      </w:r>
      <w:r w:rsidRPr="00D13A0F">
        <w:rPr>
          <w:rFonts w:ascii="Arial" w:eastAsia="MS Mincho" w:hAnsi="Arial" w:cs="Arial"/>
          <w:b/>
          <w:bCs/>
          <w:sz w:val="24"/>
          <w:szCs w:val="20"/>
          <w:lang w:val="en-GB"/>
        </w:rPr>
        <w:t>.</w:t>
      </w:r>
      <w:r w:rsidR="00D400AE">
        <w:rPr>
          <w:rFonts w:ascii="Arial" w:eastAsia="MS Mincho" w:hAnsi="Arial" w:cs="Arial"/>
          <w:b/>
          <w:bCs/>
          <w:sz w:val="24"/>
          <w:szCs w:val="20"/>
          <w:lang w:val="en-GB"/>
        </w:rPr>
        <w:t>6</w:t>
      </w:r>
      <w:r w:rsidR="006B7010" w:rsidRPr="00D13A0F">
        <w:rPr>
          <w:rFonts w:ascii="Arial" w:eastAsia="MS Mincho" w:hAnsi="Arial" w:cs="Arial"/>
          <w:b/>
          <w:bCs/>
          <w:sz w:val="24"/>
          <w:szCs w:val="20"/>
          <w:lang w:val="en-GB"/>
        </w:rPr>
        <w:t>.</w:t>
      </w:r>
      <w:r w:rsidR="00D400AE">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13A0F">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465D32" w:rsidRDefault="00465D32" w:rsidP="00FF515C">
      <w:pPr>
        <w:ind w:right="-23"/>
        <w:rPr>
          <w:rFonts w:eastAsia="Calibri" w:cs="Times New Roman"/>
          <w:szCs w:val="20"/>
        </w:rPr>
      </w:pPr>
      <w:bookmarkStart w:id="3" w:name="_Hlk513205245"/>
      <w:r>
        <w:rPr>
          <w:rFonts w:eastAsia="Calibri" w:cs="Times New Roman"/>
          <w:szCs w:val="20"/>
        </w:rPr>
        <w:t xml:space="preserve">In Spokane’s RAN4 meeting, </w:t>
      </w:r>
      <w:r w:rsidR="00350733">
        <w:rPr>
          <w:rFonts w:eastAsia="Calibri" w:cs="Times New Roman"/>
          <w:szCs w:val="20"/>
        </w:rPr>
        <w:t xml:space="preserve">the </w:t>
      </w:r>
      <w:r w:rsidR="006543DC">
        <w:rPr>
          <w:rFonts w:eastAsia="Calibri" w:cs="Times New Roman"/>
          <w:szCs w:val="20"/>
        </w:rPr>
        <w:t>necessity</w:t>
      </w:r>
      <w:r w:rsidR="00350733">
        <w:rPr>
          <w:rFonts w:eastAsia="Calibri" w:cs="Times New Roman"/>
          <w:szCs w:val="20"/>
        </w:rPr>
        <w:t xml:space="preserve"> of MRTD and MTTD requirements in inter-band synchronous EN-DC</w:t>
      </w:r>
      <w:r w:rsidR="00FC6AA0">
        <w:rPr>
          <w:rFonts w:eastAsia="Calibri" w:cs="Times New Roman"/>
          <w:szCs w:val="20"/>
        </w:rPr>
        <w:t xml:space="preserve"> was raised, and it is left for further discussion. </w:t>
      </w:r>
    </w:p>
    <w:tbl>
      <w:tblPr>
        <w:tblStyle w:val="TableGrid"/>
        <w:tblW w:w="0" w:type="auto"/>
        <w:tblLook w:val="04A0" w:firstRow="1" w:lastRow="0" w:firstColumn="1" w:lastColumn="0" w:noHBand="0" w:noVBand="1"/>
      </w:tblPr>
      <w:tblGrid>
        <w:gridCol w:w="9617"/>
      </w:tblGrid>
      <w:tr w:rsidR="00FC6AA0" w:rsidTr="00FC6AA0">
        <w:tc>
          <w:tcPr>
            <w:tcW w:w="9617" w:type="dxa"/>
          </w:tcPr>
          <w:p w:rsidR="00FC6AA0" w:rsidRPr="00FC6AA0" w:rsidRDefault="00FC6AA0" w:rsidP="00FC6AA0">
            <w:pPr>
              <w:rPr>
                <w:i/>
                <w:lang w:eastAsia="zh-CN"/>
              </w:rPr>
            </w:pPr>
            <w:r>
              <w:rPr>
                <w:i/>
                <w:lang w:eastAsia="zh-CN"/>
              </w:rPr>
              <w:t>Editor Note: It is FFS the necessity of inter-band EN-DC synchronous requirement for MTTD.</w:t>
            </w:r>
          </w:p>
        </w:tc>
      </w:tr>
      <w:tr w:rsidR="00FC6AA0" w:rsidTr="00DC631B">
        <w:tc>
          <w:tcPr>
            <w:tcW w:w="9617" w:type="dxa"/>
          </w:tcPr>
          <w:p w:rsidR="00FC6AA0" w:rsidRDefault="00FC6AA0" w:rsidP="00FC6AA0">
            <w:pPr>
              <w:rPr>
                <w:rFonts w:eastAsia="Calibri" w:cs="Times New Roman"/>
                <w:szCs w:val="20"/>
              </w:rPr>
            </w:pPr>
            <w:r>
              <w:rPr>
                <w:i/>
                <w:lang w:eastAsia="zh-CN"/>
              </w:rPr>
              <w:t>Editor Note: It is FFS the necessity of inter-band EN-DC synchronous requirement for MRTD.</w:t>
            </w:r>
          </w:p>
        </w:tc>
      </w:tr>
    </w:tbl>
    <w:p w:rsidR="006543DC" w:rsidRDefault="006543DC" w:rsidP="00FF515C">
      <w:pPr>
        <w:ind w:right="-23"/>
        <w:rPr>
          <w:rFonts w:eastAsia="Calibri" w:cs="Times New Roman"/>
          <w:szCs w:val="20"/>
        </w:rPr>
      </w:pPr>
      <w:bookmarkStart w:id="4" w:name="_Hlk513205847"/>
      <w:bookmarkEnd w:id="3"/>
    </w:p>
    <w:p w:rsidR="00FF515C" w:rsidRPr="00126990" w:rsidRDefault="00FF515C" w:rsidP="00FF515C">
      <w:pPr>
        <w:ind w:right="-23"/>
        <w:rPr>
          <w:rFonts w:eastAsia="Calibri" w:cs="Times New Roman"/>
          <w:szCs w:val="20"/>
        </w:rPr>
      </w:pPr>
      <w:r>
        <w:rPr>
          <w:rFonts w:eastAsia="Calibri" w:cs="Times New Roman"/>
          <w:szCs w:val="20"/>
        </w:rPr>
        <w:t>In this paper, we will provide our views on</w:t>
      </w:r>
      <w:r w:rsidR="006543DC">
        <w:rPr>
          <w:rFonts w:eastAsia="Calibri" w:cs="Times New Roman"/>
          <w:szCs w:val="20"/>
        </w:rPr>
        <w:t xml:space="preserve"> the necessity</w:t>
      </w:r>
      <w:r>
        <w:rPr>
          <w:rFonts w:eastAsia="Calibri" w:cs="Times New Roman"/>
          <w:szCs w:val="20"/>
        </w:rPr>
        <w:t xml:space="preserve"> </w:t>
      </w:r>
      <w:r w:rsidR="006543DC">
        <w:rPr>
          <w:rFonts w:eastAsia="Calibri" w:cs="Times New Roman"/>
          <w:szCs w:val="20"/>
        </w:rPr>
        <w:t xml:space="preserve">of </w:t>
      </w:r>
      <w:r w:rsidRPr="005D6468">
        <w:rPr>
          <w:rFonts w:eastAsia="Calibri" w:cs="Times New Roman"/>
          <w:szCs w:val="20"/>
        </w:rPr>
        <w:t xml:space="preserve">MRTD and MTTD </w:t>
      </w:r>
      <w:r w:rsidR="006543DC">
        <w:rPr>
          <w:rFonts w:eastAsia="Calibri" w:cs="Times New Roman"/>
          <w:szCs w:val="20"/>
        </w:rPr>
        <w:t xml:space="preserve">requirements </w:t>
      </w:r>
      <w:r w:rsidRPr="005D6468">
        <w:rPr>
          <w:rFonts w:eastAsia="Calibri" w:cs="Times New Roman"/>
          <w:szCs w:val="20"/>
        </w:rPr>
        <w:t>for inter-band</w:t>
      </w:r>
      <w:r w:rsidR="006543DC">
        <w:rPr>
          <w:rFonts w:eastAsia="Calibri" w:cs="Times New Roman"/>
          <w:szCs w:val="20"/>
        </w:rPr>
        <w:t xml:space="preserve"> synchronous</w:t>
      </w:r>
      <w:r w:rsidRPr="005D6468">
        <w:rPr>
          <w:rFonts w:eastAsia="Calibri" w:cs="Times New Roman"/>
          <w:szCs w:val="20"/>
        </w:rPr>
        <w:t xml:space="preserve"> EN-DC</w:t>
      </w:r>
      <w:r>
        <w:rPr>
          <w:rFonts w:eastAsia="Calibri" w:cs="Times New Roman"/>
          <w:szCs w:val="20"/>
        </w:rPr>
        <w:t>.</w:t>
      </w:r>
    </w:p>
    <w:bookmarkEnd w:id="4"/>
    <w:p w:rsidR="003B659E" w:rsidRDefault="003B659E" w:rsidP="0008612A">
      <w:pPr>
        <w:pStyle w:val="RAN4H1"/>
      </w:pPr>
      <w:r>
        <w:t>2</w:t>
      </w:r>
      <w:r w:rsidRPr="00841BCD">
        <w:tab/>
      </w:r>
      <w:r>
        <w:t>Discussion</w:t>
      </w:r>
    </w:p>
    <w:p w:rsidR="00642975" w:rsidRDefault="00FD107E" w:rsidP="00642975">
      <w:pPr>
        <w:overflowPunct w:val="0"/>
        <w:autoSpaceDE w:val="0"/>
        <w:autoSpaceDN w:val="0"/>
        <w:adjustRightInd w:val="0"/>
        <w:spacing w:after="180" w:line="240" w:lineRule="auto"/>
        <w:rPr>
          <w:rFonts w:eastAsia="宋体" w:cs="Times New Roman"/>
          <w:szCs w:val="20"/>
          <w:lang w:val="en-GB"/>
        </w:rPr>
      </w:pPr>
      <w:bookmarkStart w:id="5" w:name="_Hlk525891774"/>
      <w:bookmarkStart w:id="6" w:name="_Hlk513733380"/>
      <w:bookmarkStart w:id="7" w:name="_Hlk521590279"/>
      <w:r>
        <w:t xml:space="preserve">In 38.133, </w:t>
      </w:r>
      <w:r w:rsidR="00642975">
        <w:t xml:space="preserve">the current definition for the MRTD and MTTD requirement in EN-DC </w:t>
      </w:r>
      <w:r w:rsidR="00642975">
        <w:rPr>
          <w:rFonts w:eastAsia="宋体" w:cs="Times New Roman"/>
          <w:szCs w:val="20"/>
          <w:lang w:val="en-GB"/>
        </w:rPr>
        <w:t>are summarized in table 1 below:</w:t>
      </w:r>
    </w:p>
    <w:p w:rsidR="00FD107E" w:rsidRPr="00642975" w:rsidRDefault="00642975" w:rsidP="00642975">
      <w:pPr>
        <w:keepNext/>
        <w:overflowPunct w:val="0"/>
        <w:autoSpaceDE w:val="0"/>
        <w:autoSpaceDN w:val="0"/>
        <w:adjustRightInd w:val="0"/>
        <w:spacing w:before="120" w:after="120" w:line="240" w:lineRule="auto"/>
        <w:jc w:val="center"/>
        <w:rPr>
          <w:rFonts w:eastAsia="Calibri" w:cs="Times New Roman"/>
          <w:b/>
          <w:sz w:val="22"/>
          <w:lang w:val="en-GB"/>
        </w:rPr>
      </w:pPr>
      <w:r>
        <w:rPr>
          <w:rFonts w:eastAsia="Calibri" w:cs="Times New Roman"/>
          <w:b/>
          <w:sz w:val="22"/>
          <w:lang w:val="en-GB"/>
        </w:rPr>
        <w:t xml:space="preserve">Table </w:t>
      </w:r>
      <w:r>
        <w:rPr>
          <w:rFonts w:eastAsia="Calibri" w:cs="Times New Roman"/>
          <w:b/>
          <w:sz w:val="22"/>
          <w:lang w:val="en-GB"/>
        </w:rPr>
        <w:fldChar w:fldCharType="begin"/>
      </w:r>
      <w:r>
        <w:rPr>
          <w:rFonts w:eastAsia="Calibri" w:cs="Times New Roman"/>
          <w:b/>
          <w:sz w:val="22"/>
          <w:lang w:val="en-GB"/>
        </w:rPr>
        <w:instrText xml:space="preserve"> SEQ Table \* ARABIC </w:instrText>
      </w:r>
      <w:r>
        <w:rPr>
          <w:rFonts w:eastAsia="Calibri" w:cs="Times New Roman"/>
          <w:b/>
          <w:sz w:val="22"/>
          <w:lang w:val="en-GB"/>
        </w:rPr>
        <w:fldChar w:fldCharType="separate"/>
      </w:r>
      <w:r>
        <w:rPr>
          <w:rFonts w:eastAsia="Calibri" w:cs="Times New Roman"/>
          <w:b/>
          <w:noProof/>
          <w:sz w:val="22"/>
          <w:lang w:val="en-GB"/>
        </w:rPr>
        <w:t>1</w:t>
      </w:r>
      <w:r>
        <w:rPr>
          <w:rFonts w:eastAsia="Calibri" w:cs="Times New Roman"/>
          <w:b/>
          <w:sz w:val="22"/>
          <w:lang w:val="en-GB"/>
        </w:rPr>
        <w:fldChar w:fldCharType="end"/>
      </w:r>
      <w:r>
        <w:rPr>
          <w:rFonts w:eastAsia="Calibri" w:cs="Times New Roman"/>
          <w:b/>
          <w:sz w:val="22"/>
          <w:lang w:val="en-GB"/>
        </w:rPr>
        <w:t>: EN-DC MRTD and MTTD requirements</w:t>
      </w:r>
    </w:p>
    <w:tbl>
      <w:tblPr>
        <w:tblStyle w:val="TableGrid2"/>
        <w:tblW w:w="0" w:type="auto"/>
        <w:tblInd w:w="0" w:type="dxa"/>
        <w:tblLayout w:type="fixed"/>
        <w:tblLook w:val="04A0" w:firstRow="1" w:lastRow="0" w:firstColumn="1" w:lastColumn="0" w:noHBand="0" w:noVBand="1"/>
      </w:tblPr>
      <w:tblGrid>
        <w:gridCol w:w="837"/>
        <w:gridCol w:w="1426"/>
        <w:gridCol w:w="1560"/>
        <w:gridCol w:w="2693"/>
        <w:gridCol w:w="3113"/>
      </w:tblGrid>
      <w:tr w:rsidR="00FD107E" w:rsidTr="00FD107E">
        <w:trPr>
          <w:trHeight w:val="325"/>
        </w:trPr>
        <w:tc>
          <w:tcPr>
            <w:tcW w:w="837" w:type="dxa"/>
            <w:tcBorders>
              <w:top w:val="single" w:sz="4" w:space="0" w:color="auto"/>
              <w:left w:val="single" w:sz="4" w:space="0" w:color="auto"/>
              <w:bottom w:val="single" w:sz="4" w:space="0" w:color="auto"/>
              <w:right w:val="single" w:sz="4" w:space="0" w:color="auto"/>
            </w:tcBorders>
            <w:shd w:val="clear" w:color="auto" w:fill="D9D9D9"/>
            <w:hideMark/>
          </w:tcPr>
          <w:p w:rsidR="00FD107E" w:rsidRDefault="00FD107E">
            <w:pPr>
              <w:overflowPunct w:val="0"/>
              <w:autoSpaceDE w:val="0"/>
              <w:autoSpaceDN w:val="0"/>
              <w:adjustRightInd w:val="0"/>
              <w:spacing w:after="180"/>
              <w:jc w:val="center"/>
              <w:rPr>
                <w:b/>
                <w:lang w:val="en-GB"/>
              </w:rPr>
            </w:pPr>
            <w:r>
              <w:rPr>
                <w:b/>
                <w:lang w:val="en-GB"/>
              </w:rPr>
              <w:t>Case</w:t>
            </w:r>
          </w:p>
        </w:tc>
        <w:tc>
          <w:tcPr>
            <w:tcW w:w="1426" w:type="dxa"/>
            <w:tcBorders>
              <w:top w:val="single" w:sz="4" w:space="0" w:color="auto"/>
              <w:left w:val="single" w:sz="4" w:space="0" w:color="auto"/>
              <w:bottom w:val="single" w:sz="4" w:space="0" w:color="auto"/>
              <w:right w:val="single" w:sz="4" w:space="0" w:color="auto"/>
            </w:tcBorders>
            <w:shd w:val="clear" w:color="auto" w:fill="D9D9D9"/>
            <w:hideMark/>
          </w:tcPr>
          <w:p w:rsidR="00FD107E" w:rsidRDefault="00FD107E">
            <w:pPr>
              <w:overflowPunct w:val="0"/>
              <w:autoSpaceDE w:val="0"/>
              <w:autoSpaceDN w:val="0"/>
              <w:adjustRightInd w:val="0"/>
              <w:spacing w:after="180"/>
              <w:jc w:val="center"/>
              <w:rPr>
                <w:b/>
                <w:lang w:val="en-GB"/>
              </w:rPr>
            </w:pPr>
            <w:r>
              <w:rPr>
                <w:b/>
                <w:lang w:val="en-GB"/>
              </w:rPr>
              <w:t>Band combination</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D107E" w:rsidRDefault="00FD107E">
            <w:pPr>
              <w:overflowPunct w:val="0"/>
              <w:autoSpaceDE w:val="0"/>
              <w:autoSpaceDN w:val="0"/>
              <w:adjustRightInd w:val="0"/>
              <w:spacing w:after="180"/>
              <w:jc w:val="center"/>
              <w:rPr>
                <w:b/>
                <w:lang w:val="en-GB"/>
              </w:rPr>
            </w:pPr>
            <w:r>
              <w:rPr>
                <w:b/>
                <w:lang w:val="en-GB"/>
              </w:rPr>
              <w:t>SCS [kHz]</w:t>
            </w:r>
          </w:p>
        </w:tc>
        <w:tc>
          <w:tcPr>
            <w:tcW w:w="2693" w:type="dxa"/>
            <w:tcBorders>
              <w:top w:val="single" w:sz="4" w:space="0" w:color="auto"/>
              <w:left w:val="single" w:sz="4" w:space="0" w:color="auto"/>
              <w:bottom w:val="single" w:sz="4" w:space="0" w:color="auto"/>
              <w:right w:val="single" w:sz="4" w:space="0" w:color="auto"/>
            </w:tcBorders>
            <w:shd w:val="clear" w:color="auto" w:fill="D9D9D9"/>
            <w:hideMark/>
          </w:tcPr>
          <w:p w:rsidR="00FD107E" w:rsidRDefault="00FD107E">
            <w:pPr>
              <w:overflowPunct w:val="0"/>
              <w:autoSpaceDE w:val="0"/>
              <w:autoSpaceDN w:val="0"/>
              <w:adjustRightInd w:val="0"/>
              <w:spacing w:after="180"/>
              <w:jc w:val="center"/>
              <w:rPr>
                <w:b/>
                <w:lang w:val="en-GB"/>
              </w:rPr>
            </w:pPr>
            <w:r>
              <w:rPr>
                <w:b/>
                <w:lang w:val="en-GB"/>
              </w:rPr>
              <w:t>MRTD [µs]</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rsidR="00FD107E" w:rsidRDefault="00FD107E">
            <w:pPr>
              <w:overflowPunct w:val="0"/>
              <w:autoSpaceDE w:val="0"/>
              <w:autoSpaceDN w:val="0"/>
              <w:adjustRightInd w:val="0"/>
              <w:spacing w:after="180"/>
              <w:jc w:val="center"/>
              <w:rPr>
                <w:b/>
                <w:lang w:val="en-GB"/>
              </w:rPr>
            </w:pPr>
            <w:r>
              <w:rPr>
                <w:b/>
                <w:lang w:val="en-GB"/>
              </w:rPr>
              <w:t>MTTD [µs]</w:t>
            </w:r>
          </w:p>
        </w:tc>
      </w:tr>
      <w:tr w:rsidR="00FD107E" w:rsidTr="00FD107E">
        <w:tc>
          <w:tcPr>
            <w:tcW w:w="837" w:type="dxa"/>
            <w:vMerge w:val="restart"/>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rPr>
                <w:lang w:val="en-GB"/>
              </w:rPr>
            </w:pPr>
            <w:r>
              <w:rPr>
                <w:lang w:val="en-GB"/>
              </w:rPr>
              <w:t>Async</w:t>
            </w:r>
          </w:p>
        </w:tc>
        <w:tc>
          <w:tcPr>
            <w:tcW w:w="1426"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rPr>
                <w:lang w:val="en-GB"/>
              </w:rPr>
            </w:pPr>
            <w:r>
              <w:rPr>
                <w:lang w:val="en-GB"/>
              </w:rPr>
              <w:t>Inter-band</w:t>
            </w:r>
            <w:r>
              <w:rPr>
                <w:vertAlign w:val="superscript"/>
                <w:lang w:val="en-GB"/>
              </w:rPr>
              <w:t>(1</w:t>
            </w:r>
          </w:p>
        </w:tc>
        <w:tc>
          <w:tcPr>
            <w:tcW w:w="1560"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{15,30,60,120}</w:t>
            </w:r>
          </w:p>
        </w:tc>
        <w:tc>
          <w:tcPr>
            <w:tcW w:w="269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500*2</w:t>
            </w:r>
            <w:r>
              <w:rPr>
                <w:vertAlign w:val="superscript"/>
                <w:lang w:val="en-GB"/>
              </w:rPr>
              <w:t>-µ</w:t>
            </w:r>
          </w:p>
        </w:tc>
        <w:tc>
          <w:tcPr>
            <w:tcW w:w="311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500*2</w:t>
            </w:r>
            <w:r>
              <w:rPr>
                <w:vertAlign w:val="superscript"/>
                <w:lang w:val="en-GB"/>
              </w:rPr>
              <w:t>-µ</w:t>
            </w:r>
          </w:p>
        </w:tc>
      </w:tr>
      <w:tr w:rsidR="00FD107E" w:rsidTr="00FD107E">
        <w:tc>
          <w:tcPr>
            <w:tcW w:w="837" w:type="dxa"/>
            <w:vMerge/>
            <w:tcBorders>
              <w:top w:val="single" w:sz="4" w:space="0" w:color="auto"/>
              <w:left w:val="single" w:sz="4" w:space="0" w:color="auto"/>
              <w:bottom w:val="single" w:sz="4" w:space="0" w:color="auto"/>
              <w:right w:val="single" w:sz="4" w:space="0" w:color="auto"/>
            </w:tcBorders>
            <w:vAlign w:val="center"/>
            <w:hideMark/>
          </w:tcPr>
          <w:p w:rsidR="00FD107E" w:rsidRDefault="00FD107E">
            <w:pPr>
              <w:rPr>
                <w:lang w:val="en-GB"/>
              </w:rPr>
            </w:pPr>
          </w:p>
        </w:tc>
        <w:tc>
          <w:tcPr>
            <w:tcW w:w="1426"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rPr>
                <w:lang w:val="en-GB"/>
              </w:rPr>
            </w:pPr>
            <w:r>
              <w:rPr>
                <w:lang w:val="en-GB"/>
              </w:rPr>
              <w:t>Intra-band</w:t>
            </w:r>
            <w:r>
              <w:rPr>
                <w:vertAlign w:val="superscript"/>
                <w:lang w:val="en-GB"/>
              </w:rPr>
              <w:t>(2,4</w:t>
            </w:r>
          </w:p>
        </w:tc>
        <w:tc>
          <w:tcPr>
            <w:tcW w:w="1560"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{15,30,60}</w:t>
            </w:r>
          </w:p>
        </w:tc>
        <w:tc>
          <w:tcPr>
            <w:tcW w:w="269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500*2</w:t>
            </w:r>
            <w:r>
              <w:rPr>
                <w:vertAlign w:val="superscript"/>
                <w:lang w:val="en-GB"/>
              </w:rPr>
              <w:t>-µ</w:t>
            </w:r>
          </w:p>
        </w:tc>
        <w:tc>
          <w:tcPr>
            <w:tcW w:w="311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500*2</w:t>
            </w:r>
            <w:r>
              <w:rPr>
                <w:vertAlign w:val="superscript"/>
                <w:lang w:val="en-GB"/>
              </w:rPr>
              <w:t>-µ</w:t>
            </w:r>
          </w:p>
        </w:tc>
      </w:tr>
      <w:tr w:rsidR="00FD107E" w:rsidTr="00FD107E">
        <w:tc>
          <w:tcPr>
            <w:tcW w:w="837" w:type="dxa"/>
            <w:vMerge w:val="restart"/>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rPr>
                <w:lang w:val="en-GB"/>
              </w:rPr>
            </w:pPr>
            <w:r>
              <w:rPr>
                <w:lang w:val="en-GB"/>
              </w:rPr>
              <w:t>Sync</w:t>
            </w:r>
          </w:p>
        </w:tc>
        <w:tc>
          <w:tcPr>
            <w:tcW w:w="1426"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rPr>
                <w:lang w:val="en-GB"/>
              </w:rPr>
            </w:pPr>
            <w:r>
              <w:rPr>
                <w:lang w:val="en-GB"/>
              </w:rPr>
              <w:t>Inter-band</w:t>
            </w:r>
            <w:r>
              <w:rPr>
                <w:vertAlign w:val="superscript"/>
                <w:lang w:val="en-GB"/>
              </w:rPr>
              <w:t>(1,5</w:t>
            </w:r>
          </w:p>
        </w:tc>
        <w:tc>
          <w:tcPr>
            <w:tcW w:w="1560"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{15,30,60,120}</w:t>
            </w:r>
          </w:p>
        </w:tc>
        <w:tc>
          <w:tcPr>
            <w:tcW w:w="269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33</w:t>
            </w:r>
          </w:p>
        </w:tc>
        <w:tc>
          <w:tcPr>
            <w:tcW w:w="311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35.21</w:t>
            </w:r>
          </w:p>
        </w:tc>
      </w:tr>
      <w:tr w:rsidR="00FD107E" w:rsidTr="00FD107E">
        <w:trPr>
          <w:trHeight w:val="56"/>
        </w:trPr>
        <w:tc>
          <w:tcPr>
            <w:tcW w:w="837" w:type="dxa"/>
            <w:vMerge/>
            <w:tcBorders>
              <w:top w:val="single" w:sz="4" w:space="0" w:color="auto"/>
              <w:left w:val="single" w:sz="4" w:space="0" w:color="auto"/>
              <w:bottom w:val="single" w:sz="4" w:space="0" w:color="auto"/>
              <w:right w:val="single" w:sz="4" w:space="0" w:color="auto"/>
            </w:tcBorders>
            <w:vAlign w:val="center"/>
            <w:hideMark/>
          </w:tcPr>
          <w:p w:rsidR="00FD107E" w:rsidRDefault="00FD107E">
            <w:pPr>
              <w:rPr>
                <w:lang w:val="en-GB"/>
              </w:rPr>
            </w:pPr>
          </w:p>
        </w:tc>
        <w:tc>
          <w:tcPr>
            <w:tcW w:w="1426"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rPr>
                <w:lang w:val="en-GB"/>
              </w:rPr>
            </w:pPr>
            <w:r>
              <w:rPr>
                <w:lang w:val="en-GB"/>
              </w:rPr>
              <w:t>Intra-band</w:t>
            </w:r>
            <w:r>
              <w:rPr>
                <w:vertAlign w:val="superscript"/>
                <w:lang w:val="en-GB"/>
              </w:rPr>
              <w:t>(2,3,4</w:t>
            </w:r>
          </w:p>
        </w:tc>
        <w:tc>
          <w:tcPr>
            <w:tcW w:w="1560"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{15,30,60}</w:t>
            </w:r>
          </w:p>
        </w:tc>
        <w:tc>
          <w:tcPr>
            <w:tcW w:w="269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Pr>
                <w:lang w:val="en-GB"/>
              </w:rPr>
              <w:t>3</w:t>
            </w:r>
          </w:p>
        </w:tc>
        <w:tc>
          <w:tcPr>
            <w:tcW w:w="3113" w:type="dxa"/>
            <w:tcBorders>
              <w:top w:val="single" w:sz="4" w:space="0" w:color="auto"/>
              <w:left w:val="single" w:sz="4" w:space="0" w:color="auto"/>
              <w:bottom w:val="single" w:sz="4" w:space="0" w:color="auto"/>
              <w:right w:val="single" w:sz="4" w:space="0" w:color="auto"/>
            </w:tcBorders>
            <w:hideMark/>
          </w:tcPr>
          <w:p w:rsidR="00FD107E" w:rsidRDefault="00FD107E">
            <w:pPr>
              <w:overflowPunct w:val="0"/>
              <w:autoSpaceDE w:val="0"/>
              <w:autoSpaceDN w:val="0"/>
              <w:adjustRightInd w:val="0"/>
              <w:jc w:val="center"/>
              <w:rPr>
                <w:lang w:val="en-GB"/>
              </w:rPr>
            </w:pPr>
            <w:r w:rsidRPr="00FD107E">
              <w:rPr>
                <w:lang w:val="en-GB"/>
              </w:rPr>
              <w:t>No requirement applicable</w:t>
            </w:r>
          </w:p>
        </w:tc>
      </w:tr>
    </w:tbl>
    <w:p w:rsidR="00FD107E" w:rsidRDefault="00FD107E" w:rsidP="00FD107E">
      <w:pPr>
        <w:numPr>
          <w:ilvl w:val="0"/>
          <w:numId w:val="31"/>
        </w:numPr>
        <w:overflowPunct w:val="0"/>
        <w:autoSpaceDE w:val="0"/>
        <w:autoSpaceDN w:val="0"/>
        <w:adjustRightInd w:val="0"/>
        <w:spacing w:after="0" w:line="240" w:lineRule="auto"/>
        <w:ind w:left="426"/>
        <w:contextualSpacing/>
        <w:rPr>
          <w:rFonts w:eastAsia="Calibri" w:cs="v4.2.0"/>
          <w:sz w:val="18"/>
          <w:szCs w:val="20"/>
          <w:lang w:eastAsia="zh-CN"/>
        </w:rPr>
      </w:pPr>
      <w:r>
        <w:rPr>
          <w:rFonts w:eastAsia="Calibri" w:cs="v4.2.0"/>
          <w:sz w:val="18"/>
          <w:szCs w:val="20"/>
          <w:lang w:eastAsia="zh-CN"/>
        </w:rPr>
        <w:t>Applicable for E-UTRA TDD – NR TDD, E-UTRA FDD – NR FDD, E-UTRA TDD – NR FDD, E-UTRA FDD – NR TDD</w:t>
      </w:r>
    </w:p>
    <w:p w:rsidR="00FD107E" w:rsidRDefault="00FD107E" w:rsidP="00FD107E">
      <w:pPr>
        <w:numPr>
          <w:ilvl w:val="0"/>
          <w:numId w:val="31"/>
        </w:numPr>
        <w:overflowPunct w:val="0"/>
        <w:autoSpaceDE w:val="0"/>
        <w:autoSpaceDN w:val="0"/>
        <w:adjustRightInd w:val="0"/>
        <w:spacing w:after="0" w:line="240" w:lineRule="auto"/>
        <w:ind w:left="426"/>
        <w:contextualSpacing/>
        <w:rPr>
          <w:rFonts w:eastAsia="Calibri" w:cs="v4.2.0"/>
          <w:sz w:val="18"/>
          <w:szCs w:val="20"/>
          <w:lang w:eastAsia="zh-CN"/>
        </w:rPr>
      </w:pPr>
      <w:r>
        <w:rPr>
          <w:rFonts w:eastAsia="Calibri" w:cs="Times New Roman"/>
          <w:sz w:val="18"/>
          <w:szCs w:val="20"/>
          <w:lang w:eastAsia="zh-CN"/>
        </w:rPr>
        <w:t>Applicable for E-UTRA FDD – NR FDD</w:t>
      </w:r>
    </w:p>
    <w:p w:rsidR="00FD107E" w:rsidRDefault="00FD107E" w:rsidP="00FD107E">
      <w:pPr>
        <w:numPr>
          <w:ilvl w:val="0"/>
          <w:numId w:val="31"/>
        </w:numPr>
        <w:overflowPunct w:val="0"/>
        <w:autoSpaceDE w:val="0"/>
        <w:autoSpaceDN w:val="0"/>
        <w:adjustRightInd w:val="0"/>
        <w:spacing w:after="0" w:line="240" w:lineRule="auto"/>
        <w:ind w:left="426"/>
        <w:contextualSpacing/>
        <w:rPr>
          <w:rFonts w:eastAsia="Calibri" w:cs="v4.2.0"/>
          <w:sz w:val="18"/>
          <w:szCs w:val="20"/>
          <w:lang w:eastAsia="zh-CN"/>
        </w:rPr>
      </w:pPr>
      <w:r>
        <w:rPr>
          <w:rFonts w:eastAsia="Calibri" w:cs="Times New Roman"/>
          <w:sz w:val="18"/>
          <w:szCs w:val="20"/>
          <w:lang w:eastAsia="zh-CN"/>
        </w:rPr>
        <w:t>Applicable for E-UTRA TDD – NR TDD</w:t>
      </w:r>
    </w:p>
    <w:p w:rsidR="00FD107E" w:rsidRDefault="00FD107E" w:rsidP="00FD107E">
      <w:pPr>
        <w:numPr>
          <w:ilvl w:val="0"/>
          <w:numId w:val="31"/>
        </w:numPr>
        <w:overflowPunct w:val="0"/>
        <w:autoSpaceDE w:val="0"/>
        <w:autoSpaceDN w:val="0"/>
        <w:adjustRightInd w:val="0"/>
        <w:spacing w:after="0" w:line="240" w:lineRule="auto"/>
        <w:ind w:left="426"/>
        <w:contextualSpacing/>
        <w:rPr>
          <w:rFonts w:eastAsia="Calibri" w:cs="v4.2.0"/>
          <w:sz w:val="18"/>
          <w:szCs w:val="20"/>
          <w:lang w:eastAsia="zh-CN"/>
        </w:rPr>
      </w:pPr>
      <w:r>
        <w:rPr>
          <w:rFonts w:eastAsia="Calibri" w:cs="v4.2.0"/>
          <w:sz w:val="18"/>
          <w:szCs w:val="20"/>
          <w:lang w:eastAsia="zh-CN"/>
        </w:rPr>
        <w:t>Only collocated deployment is applied</w:t>
      </w:r>
    </w:p>
    <w:p w:rsidR="00FD107E" w:rsidRDefault="00FD107E" w:rsidP="00FD107E">
      <w:pPr>
        <w:numPr>
          <w:ilvl w:val="0"/>
          <w:numId w:val="31"/>
        </w:numPr>
        <w:overflowPunct w:val="0"/>
        <w:autoSpaceDE w:val="0"/>
        <w:autoSpaceDN w:val="0"/>
        <w:adjustRightInd w:val="0"/>
        <w:spacing w:after="0" w:line="240" w:lineRule="auto"/>
        <w:ind w:left="426"/>
        <w:contextualSpacing/>
        <w:rPr>
          <w:rFonts w:eastAsia="Calibri" w:cs="v4.2.0"/>
          <w:sz w:val="18"/>
          <w:szCs w:val="20"/>
          <w:lang w:eastAsia="zh-CN"/>
        </w:rPr>
      </w:pPr>
      <w:r>
        <w:rPr>
          <w:rFonts w:eastAsia="Calibri" w:cs="v4.2.0"/>
          <w:sz w:val="18"/>
          <w:szCs w:val="20"/>
          <w:lang w:eastAsia="zh-CN"/>
        </w:rPr>
        <w:t>Need for this requirement is FFS as per an editor’s note in 38.133 due to async being UE-mandatory</w:t>
      </w:r>
    </w:p>
    <w:p w:rsidR="00FD107E" w:rsidRDefault="00FD107E" w:rsidP="00C1368E"/>
    <w:p w:rsidR="003C298B" w:rsidRDefault="00642975" w:rsidP="003C298B">
      <w:r>
        <w:rPr>
          <w:lang w:val="en-GB"/>
        </w:rPr>
        <w:t>RAN4 has agreed that UE is mandatory to support inter-band asynchronous EN-DC</w:t>
      </w:r>
      <w:r>
        <w:t>, and it applies for all cases of FDD-FDD, TDD-TDD and TDD-FDD.</w:t>
      </w:r>
      <w:r w:rsidR="003C298B">
        <w:t xml:space="preserve"> The current MRTD/MTTD requirements for inter-band sync EN-DC may become unnecessary. Since UE is mandatory to support MRTD of half-slot (500/250/125/62.5us for 15/30/60/120kHz SCS), it is obvious that UE can support MRTD of 33us. According to earlier discussion, unlike LTE DC, there is no difference in UE power control behavior with synchronous or asynchronous EN-DC </w:t>
      </w:r>
      <w:r w:rsidR="003C298B">
        <w:fldChar w:fldCharType="begin"/>
      </w:r>
      <w:r w:rsidR="003C298B">
        <w:instrText xml:space="preserve"> REF _Ref521606378 \r \h </w:instrText>
      </w:r>
      <w:r w:rsidR="003C298B">
        <w:fldChar w:fldCharType="separate"/>
      </w:r>
      <w:r w:rsidR="003C298B">
        <w:t>[4]</w:t>
      </w:r>
      <w:r w:rsidR="003C298B">
        <w:fldChar w:fldCharType="end"/>
      </w:r>
      <w:r w:rsidR="003C298B">
        <w:t xml:space="preserve">, so synchronous EN-DC and related MRTD/MTTD requirements for inter-band are not needed. </w:t>
      </w:r>
    </w:p>
    <w:p w:rsidR="00642975" w:rsidRDefault="003C298B" w:rsidP="00BE1EFA">
      <w:pPr>
        <w:pStyle w:val="RAN4proposal"/>
        <w:numPr>
          <w:ilvl w:val="0"/>
          <w:numId w:val="27"/>
        </w:numPr>
        <w:spacing w:before="120" w:after="120"/>
        <w:ind w:left="0" w:firstLine="0"/>
      </w:pPr>
      <w:r>
        <w:t>For inter-band, remove the mentioning of sync EN-DC and related MRTD/MTTD requirements in 38.133.</w:t>
      </w:r>
    </w:p>
    <w:bookmarkEnd w:id="5"/>
    <w:bookmarkEnd w:id="6"/>
    <w:bookmarkEnd w:id="7"/>
    <w:p w:rsidR="002C2D19" w:rsidRDefault="001058F0" w:rsidP="003B659E">
      <w:pPr>
        <w:ind w:right="-22"/>
        <w:rPr>
          <w:rFonts w:cs="Times New Roman"/>
        </w:rPr>
      </w:pPr>
      <w:r>
        <w:t>Proposals are included in our CR [</w:t>
      </w:r>
      <w:r w:rsidR="004D6D44">
        <w:t>5</w:t>
      </w:r>
      <w:bookmarkStart w:id="8" w:name="_GoBack"/>
      <w:bookmarkEnd w:id="8"/>
      <w:r>
        <w:t xml:space="preserve">]. </w:t>
      </w:r>
    </w:p>
    <w:p w:rsidR="00CD7492" w:rsidRPr="0095295C" w:rsidRDefault="00CD7492" w:rsidP="0008612A">
      <w:pPr>
        <w:pStyle w:val="RAN4H1"/>
      </w:pPr>
      <w:r>
        <w:t>3</w:t>
      </w:r>
      <w:r>
        <w:tab/>
        <w:t>Conclusion</w:t>
      </w:r>
    </w:p>
    <w:p w:rsidR="00E810FB" w:rsidRPr="002D4899" w:rsidRDefault="00E810FB" w:rsidP="002D4899">
      <w:pPr>
        <w:pStyle w:val="RAN4proposal"/>
        <w:numPr>
          <w:ilvl w:val="0"/>
          <w:numId w:val="30"/>
        </w:numPr>
        <w:spacing w:before="120" w:after="120"/>
      </w:pPr>
      <w:r>
        <w:t>For inter-band, remove the mentioning of sync EN-DC and related MRTD/MTTD requirements in 38.133.</w:t>
      </w:r>
    </w:p>
    <w:p w:rsidR="003B659E" w:rsidRPr="0095295C" w:rsidRDefault="003B659E" w:rsidP="0008612A">
      <w:pPr>
        <w:pStyle w:val="RAN4H1"/>
      </w:pPr>
      <w:r w:rsidRPr="0095295C">
        <w:lastRenderedPageBreak/>
        <w:t>References</w:t>
      </w:r>
    </w:p>
    <w:p w:rsidR="00C1368E" w:rsidRDefault="00C1368E" w:rsidP="00C1368E">
      <w:pPr>
        <w:numPr>
          <w:ilvl w:val="0"/>
          <w:numId w:val="29"/>
        </w:numPr>
        <w:overflowPunct w:val="0"/>
        <w:autoSpaceDE w:val="0"/>
        <w:autoSpaceDN w:val="0"/>
        <w:adjustRightInd w:val="0"/>
        <w:spacing w:after="120" w:line="256" w:lineRule="auto"/>
        <w:jc w:val="both"/>
        <w:rPr>
          <w:rFonts w:eastAsia="Times New Roman" w:cs="Times New Roman"/>
          <w:szCs w:val="20"/>
          <w:lang w:val="en-GB"/>
        </w:rPr>
      </w:pPr>
      <w:bookmarkStart w:id="9" w:name="_Ref521603835"/>
      <w:bookmarkStart w:id="10" w:name="_Ref521504631"/>
      <w:r>
        <w:rPr>
          <w:rFonts w:eastAsia="Times New Roman" w:cs="Times New Roman"/>
          <w:szCs w:val="20"/>
          <w:lang w:val="en-GB"/>
        </w:rPr>
        <w:t xml:space="preserve">R4-1711964, WF on synchronous and asynchronous definitions for LTE-NR DC in Rel-15, </w:t>
      </w:r>
      <w:bookmarkEnd w:id="9"/>
      <w:r>
        <w:rPr>
          <w:rFonts w:eastAsia="Times New Roman" w:cs="Times New Roman"/>
          <w:szCs w:val="20"/>
          <w:lang w:val="en-GB"/>
        </w:rPr>
        <w:t>Ericsson, MediaTek</w:t>
      </w:r>
    </w:p>
    <w:p w:rsidR="00C1368E" w:rsidRDefault="00C1368E" w:rsidP="00C1368E">
      <w:pPr>
        <w:numPr>
          <w:ilvl w:val="0"/>
          <w:numId w:val="29"/>
        </w:numPr>
        <w:overflowPunct w:val="0"/>
        <w:autoSpaceDE w:val="0"/>
        <w:autoSpaceDN w:val="0"/>
        <w:adjustRightInd w:val="0"/>
        <w:spacing w:after="120" w:line="256" w:lineRule="auto"/>
        <w:jc w:val="both"/>
        <w:rPr>
          <w:rFonts w:eastAsia="Times New Roman" w:cs="Times New Roman"/>
          <w:szCs w:val="20"/>
          <w:lang w:val="en-GB"/>
        </w:rPr>
      </w:pPr>
      <w:bookmarkStart w:id="11" w:name="_Ref521508748"/>
      <w:r>
        <w:rPr>
          <w:rFonts w:eastAsia="Times New Roman" w:cs="Times New Roman"/>
          <w:szCs w:val="20"/>
          <w:lang w:val="en-GB"/>
        </w:rPr>
        <w:t xml:space="preserve">R4-1803849, Clarification on Sync/Async EN-DC scenarios and Correction to Timing Requirement, </w:t>
      </w:r>
      <w:bookmarkEnd w:id="11"/>
      <w:r>
        <w:rPr>
          <w:rFonts w:eastAsia="Times New Roman" w:cs="Times New Roman"/>
          <w:szCs w:val="20"/>
          <w:lang w:val="en-GB"/>
        </w:rPr>
        <w:t>Samsung</w:t>
      </w:r>
    </w:p>
    <w:p w:rsidR="00C1368E" w:rsidRDefault="00C1368E" w:rsidP="00C1368E">
      <w:pPr>
        <w:numPr>
          <w:ilvl w:val="0"/>
          <w:numId w:val="29"/>
        </w:numPr>
        <w:overflowPunct w:val="0"/>
        <w:autoSpaceDE w:val="0"/>
        <w:autoSpaceDN w:val="0"/>
        <w:adjustRightInd w:val="0"/>
        <w:spacing w:after="120" w:line="256" w:lineRule="auto"/>
        <w:jc w:val="both"/>
        <w:rPr>
          <w:rFonts w:eastAsia="Times New Roman" w:cs="Times New Roman"/>
          <w:szCs w:val="20"/>
          <w:lang w:val="en-GB"/>
        </w:rPr>
      </w:pPr>
      <w:bookmarkStart w:id="12" w:name="_Ref521605194"/>
      <w:r>
        <w:rPr>
          <w:rFonts w:eastAsia="Times New Roman" w:cs="Times New Roman"/>
          <w:szCs w:val="20"/>
          <w:lang w:val="en-GB"/>
        </w:rPr>
        <w:t>R4-1808967, Further discussions on synchronous/asynchronous definitions for inter-band, Ericsson</w:t>
      </w:r>
      <w:bookmarkEnd w:id="12"/>
    </w:p>
    <w:p w:rsidR="00C1368E" w:rsidRDefault="00C1368E" w:rsidP="00C1368E">
      <w:pPr>
        <w:numPr>
          <w:ilvl w:val="0"/>
          <w:numId w:val="29"/>
        </w:numPr>
        <w:overflowPunct w:val="0"/>
        <w:autoSpaceDE w:val="0"/>
        <w:autoSpaceDN w:val="0"/>
        <w:adjustRightInd w:val="0"/>
        <w:spacing w:after="120" w:line="256" w:lineRule="auto"/>
        <w:jc w:val="both"/>
        <w:rPr>
          <w:rFonts w:eastAsia="Times New Roman" w:cs="Times New Roman"/>
          <w:szCs w:val="20"/>
          <w:lang w:val="en-GB"/>
        </w:rPr>
      </w:pPr>
      <w:bookmarkStart w:id="13" w:name="_Ref521606378"/>
      <w:r>
        <w:rPr>
          <w:rFonts w:eastAsia="Times New Roman" w:cs="Times New Roman"/>
          <w:szCs w:val="20"/>
          <w:lang w:val="en-GB"/>
        </w:rPr>
        <w:t>R4-1806315, Reply LS on UL timing difference in EN-DC, RAN4</w:t>
      </w:r>
      <w:bookmarkEnd w:id="10"/>
      <w:bookmarkEnd w:id="13"/>
    </w:p>
    <w:p w:rsidR="00E12959" w:rsidRDefault="00E12959" w:rsidP="00BF25C7">
      <w:pPr>
        <w:numPr>
          <w:ilvl w:val="0"/>
          <w:numId w:val="29"/>
        </w:numPr>
        <w:overflowPunct w:val="0"/>
        <w:autoSpaceDE w:val="0"/>
        <w:autoSpaceDN w:val="0"/>
        <w:adjustRightInd w:val="0"/>
        <w:spacing w:after="120" w:line="256" w:lineRule="auto"/>
        <w:jc w:val="both"/>
        <w:rPr>
          <w:rFonts w:eastAsia="Times New Roman" w:cs="Times New Roman"/>
          <w:szCs w:val="20"/>
          <w:lang w:val="en-GB"/>
        </w:rPr>
      </w:pPr>
      <w:r>
        <w:rPr>
          <w:rFonts w:eastAsia="Times New Roman" w:cs="Times New Roman"/>
          <w:szCs w:val="20"/>
          <w:lang w:val="en-GB"/>
        </w:rPr>
        <w:t>R4-</w:t>
      </w:r>
      <w:r w:rsidR="00CC259C" w:rsidRPr="00CC259C">
        <w:rPr>
          <w:rFonts w:eastAsia="Times New Roman" w:cs="Times New Roman"/>
          <w:szCs w:val="20"/>
          <w:lang w:val="en-GB"/>
        </w:rPr>
        <w:t>1901</w:t>
      </w:r>
      <w:r w:rsidR="00CC259C">
        <w:rPr>
          <w:rFonts w:eastAsia="Times New Roman" w:cs="Times New Roman"/>
          <w:szCs w:val="20"/>
          <w:lang w:val="en-GB"/>
        </w:rPr>
        <w:t>900</w:t>
      </w:r>
      <w:r>
        <w:rPr>
          <w:rFonts w:eastAsia="Times New Roman" w:cs="Times New Roman"/>
          <w:szCs w:val="20"/>
          <w:lang w:val="en-GB"/>
        </w:rPr>
        <w:t xml:space="preserve">, MRTD and MTTD in inter-band sync EN-DC, </w:t>
      </w:r>
      <w:r w:rsidR="00BF25C7" w:rsidRPr="00BF25C7">
        <w:rPr>
          <w:rFonts w:eastAsia="Times New Roman" w:cs="Times New Roman"/>
          <w:szCs w:val="20"/>
          <w:lang w:val="en-GB"/>
        </w:rPr>
        <w:t>Nokia, Nokia Shanghai Bell</w:t>
      </w:r>
    </w:p>
    <w:p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ab/>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7C7" w:rsidRDefault="001557C7" w:rsidP="00001C9B">
      <w:pPr>
        <w:spacing w:after="0" w:line="240" w:lineRule="auto"/>
      </w:pPr>
      <w:r>
        <w:separator/>
      </w:r>
    </w:p>
  </w:endnote>
  <w:endnote w:type="continuationSeparator" w:id="0">
    <w:p w:rsidR="001557C7" w:rsidRDefault="001557C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7C7" w:rsidRDefault="001557C7" w:rsidP="00001C9B">
      <w:pPr>
        <w:spacing w:after="0" w:line="240" w:lineRule="auto"/>
      </w:pPr>
      <w:r>
        <w:separator/>
      </w:r>
    </w:p>
  </w:footnote>
  <w:footnote w:type="continuationSeparator" w:id="0">
    <w:p w:rsidR="001557C7" w:rsidRDefault="001557C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F3CB4"/>
    <w:multiLevelType w:val="hybridMultilevel"/>
    <w:tmpl w:val="19C04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5BA6949"/>
    <w:multiLevelType w:val="hybridMultilevel"/>
    <w:tmpl w:val="8722A6B6"/>
    <w:lvl w:ilvl="0" w:tplc="02ACE1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46B0372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CF4"/>
    <w:multiLevelType w:val="hybridMultilevel"/>
    <w:tmpl w:val="E76A90E0"/>
    <w:lvl w:ilvl="0" w:tplc="7EC60560">
      <w:start w:val="1"/>
      <w:numFmt w:val="bullet"/>
      <w:lvlText w:val="•"/>
      <w:lvlJc w:val="left"/>
      <w:pPr>
        <w:tabs>
          <w:tab w:val="num" w:pos="720"/>
        </w:tabs>
        <w:ind w:left="720" w:hanging="360"/>
      </w:pPr>
      <w:rPr>
        <w:rFonts w:ascii="Arial" w:hAnsi="Arial" w:cs="Times New Roman" w:hint="default"/>
      </w:rPr>
    </w:lvl>
    <w:lvl w:ilvl="1" w:tplc="AF3E5F64">
      <w:start w:val="21"/>
      <w:numFmt w:val="bullet"/>
      <w:lvlText w:val="–"/>
      <w:lvlJc w:val="left"/>
      <w:pPr>
        <w:tabs>
          <w:tab w:val="num" w:pos="1440"/>
        </w:tabs>
        <w:ind w:left="1440" w:hanging="360"/>
      </w:pPr>
      <w:rPr>
        <w:rFonts w:ascii="Arial" w:hAnsi="Arial" w:cs="Times New Roman" w:hint="default"/>
      </w:rPr>
    </w:lvl>
    <w:lvl w:ilvl="2" w:tplc="DA8EFF76">
      <w:start w:val="1"/>
      <w:numFmt w:val="bullet"/>
      <w:lvlText w:val="•"/>
      <w:lvlJc w:val="left"/>
      <w:pPr>
        <w:tabs>
          <w:tab w:val="num" w:pos="2160"/>
        </w:tabs>
        <w:ind w:left="2160" w:hanging="360"/>
      </w:pPr>
      <w:rPr>
        <w:rFonts w:ascii="Arial" w:hAnsi="Arial" w:cs="Times New Roman" w:hint="default"/>
      </w:rPr>
    </w:lvl>
    <w:lvl w:ilvl="3" w:tplc="FC12F064">
      <w:start w:val="1"/>
      <w:numFmt w:val="bullet"/>
      <w:lvlText w:val="•"/>
      <w:lvlJc w:val="left"/>
      <w:pPr>
        <w:tabs>
          <w:tab w:val="num" w:pos="2880"/>
        </w:tabs>
        <w:ind w:left="2880" w:hanging="360"/>
      </w:pPr>
      <w:rPr>
        <w:rFonts w:ascii="Arial" w:hAnsi="Arial" w:cs="Times New Roman" w:hint="default"/>
      </w:rPr>
    </w:lvl>
    <w:lvl w:ilvl="4" w:tplc="B3F8A1BA">
      <w:start w:val="1"/>
      <w:numFmt w:val="bullet"/>
      <w:lvlText w:val="•"/>
      <w:lvlJc w:val="left"/>
      <w:pPr>
        <w:tabs>
          <w:tab w:val="num" w:pos="3600"/>
        </w:tabs>
        <w:ind w:left="3600" w:hanging="360"/>
      </w:pPr>
      <w:rPr>
        <w:rFonts w:ascii="Arial" w:hAnsi="Arial" w:cs="Times New Roman" w:hint="default"/>
      </w:rPr>
    </w:lvl>
    <w:lvl w:ilvl="5" w:tplc="F8F2242C">
      <w:start w:val="1"/>
      <w:numFmt w:val="bullet"/>
      <w:lvlText w:val="•"/>
      <w:lvlJc w:val="left"/>
      <w:pPr>
        <w:tabs>
          <w:tab w:val="num" w:pos="4320"/>
        </w:tabs>
        <w:ind w:left="4320" w:hanging="360"/>
      </w:pPr>
      <w:rPr>
        <w:rFonts w:ascii="Arial" w:hAnsi="Arial" w:cs="Times New Roman" w:hint="default"/>
      </w:rPr>
    </w:lvl>
    <w:lvl w:ilvl="6" w:tplc="176C0C82">
      <w:start w:val="1"/>
      <w:numFmt w:val="bullet"/>
      <w:lvlText w:val="•"/>
      <w:lvlJc w:val="left"/>
      <w:pPr>
        <w:tabs>
          <w:tab w:val="num" w:pos="5040"/>
        </w:tabs>
        <w:ind w:left="5040" w:hanging="360"/>
      </w:pPr>
      <w:rPr>
        <w:rFonts w:ascii="Arial" w:hAnsi="Arial" w:cs="Times New Roman" w:hint="default"/>
      </w:rPr>
    </w:lvl>
    <w:lvl w:ilvl="7" w:tplc="35EE6450">
      <w:start w:val="1"/>
      <w:numFmt w:val="bullet"/>
      <w:lvlText w:val="•"/>
      <w:lvlJc w:val="left"/>
      <w:pPr>
        <w:tabs>
          <w:tab w:val="num" w:pos="5760"/>
        </w:tabs>
        <w:ind w:left="5760" w:hanging="360"/>
      </w:pPr>
      <w:rPr>
        <w:rFonts w:ascii="Arial" w:hAnsi="Arial" w:cs="Times New Roman" w:hint="default"/>
      </w:rPr>
    </w:lvl>
    <w:lvl w:ilvl="8" w:tplc="C9684B2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4797267"/>
    <w:multiLevelType w:val="hybridMultilevel"/>
    <w:tmpl w:val="4F1A007A"/>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D314BC9"/>
    <w:multiLevelType w:val="hybridMultilevel"/>
    <w:tmpl w:val="4ADE8198"/>
    <w:lvl w:ilvl="0" w:tplc="FA52A6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172928"/>
    <w:multiLevelType w:val="hybridMultilevel"/>
    <w:tmpl w:val="105A9DD8"/>
    <w:lvl w:ilvl="0" w:tplc="495485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CD2D7B"/>
    <w:multiLevelType w:val="hybridMultilevel"/>
    <w:tmpl w:val="45EA9356"/>
    <w:lvl w:ilvl="0" w:tplc="9E1AFC0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2"/>
  </w:num>
  <w:num w:numId="3">
    <w:abstractNumId w:val="7"/>
  </w:num>
  <w:num w:numId="4">
    <w:abstractNumId w:val="1"/>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6"/>
  </w:num>
  <w:num w:numId="16">
    <w:abstractNumId w:val="11"/>
  </w:num>
  <w:num w:numId="17">
    <w:abstractNumId w:val="6"/>
    <w:lvlOverride w:ilvl="0">
      <w:startOverride w:val="1"/>
    </w:lvlOverride>
  </w:num>
  <w:num w:numId="18">
    <w:abstractNumId w:val="6"/>
  </w:num>
  <w:num w:numId="19">
    <w:abstractNumId w:val="6"/>
  </w:num>
  <w:num w:numId="20">
    <w:abstractNumId w:val="5"/>
    <w:lvlOverride w:ilvl="0">
      <w:startOverride w:val="1"/>
    </w:lvlOverride>
  </w:num>
  <w:num w:numId="21">
    <w:abstractNumId w:val="12"/>
  </w:num>
  <w:num w:numId="22">
    <w:abstractNumId w:val="9"/>
  </w:num>
  <w:num w:numId="23">
    <w:abstractNumId w:val="3"/>
  </w:num>
  <w:num w:numId="24">
    <w:abstractNumId w:val="6"/>
    <w:lvlOverride w:ilvl="0">
      <w:startOverride w:val="1"/>
    </w:lvlOverride>
  </w:num>
  <w:num w:numId="25">
    <w:abstractNumId w:val="6"/>
    <w:lvlOverride w:ilvl="0">
      <w:startOverride w:val="1"/>
    </w:lvlOverride>
  </w:num>
  <w:num w:numId="26">
    <w:abstractNumId w:val="4"/>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5291"/>
    <w:rsid w:val="0008612A"/>
    <w:rsid w:val="000B0056"/>
    <w:rsid w:val="001058F0"/>
    <w:rsid w:val="001557C7"/>
    <w:rsid w:val="00165487"/>
    <w:rsid w:val="001745F8"/>
    <w:rsid w:val="001838CF"/>
    <w:rsid w:val="001950F4"/>
    <w:rsid w:val="001A7AC6"/>
    <w:rsid w:val="001B2870"/>
    <w:rsid w:val="001E30F6"/>
    <w:rsid w:val="00216DE4"/>
    <w:rsid w:val="00235F5C"/>
    <w:rsid w:val="00257D17"/>
    <w:rsid w:val="00281366"/>
    <w:rsid w:val="00290927"/>
    <w:rsid w:val="002B4922"/>
    <w:rsid w:val="002C2D19"/>
    <w:rsid w:val="002D10FA"/>
    <w:rsid w:val="002D4899"/>
    <w:rsid w:val="002D4C55"/>
    <w:rsid w:val="002E533C"/>
    <w:rsid w:val="002F0212"/>
    <w:rsid w:val="00327018"/>
    <w:rsid w:val="00337B30"/>
    <w:rsid w:val="003400CC"/>
    <w:rsid w:val="00350733"/>
    <w:rsid w:val="003672AD"/>
    <w:rsid w:val="003857E5"/>
    <w:rsid w:val="003939CC"/>
    <w:rsid w:val="003B659E"/>
    <w:rsid w:val="003C298B"/>
    <w:rsid w:val="00412177"/>
    <w:rsid w:val="004150AE"/>
    <w:rsid w:val="00433BD6"/>
    <w:rsid w:val="0043750A"/>
    <w:rsid w:val="00465D32"/>
    <w:rsid w:val="004D6D44"/>
    <w:rsid w:val="004E5E66"/>
    <w:rsid w:val="00503B4D"/>
    <w:rsid w:val="00504EE9"/>
    <w:rsid w:val="00541A61"/>
    <w:rsid w:val="0054442C"/>
    <w:rsid w:val="00550285"/>
    <w:rsid w:val="005836F8"/>
    <w:rsid w:val="005E61A8"/>
    <w:rsid w:val="005F6419"/>
    <w:rsid w:val="00617400"/>
    <w:rsid w:val="00642975"/>
    <w:rsid w:val="006543DC"/>
    <w:rsid w:val="00664950"/>
    <w:rsid w:val="00683220"/>
    <w:rsid w:val="00687FA0"/>
    <w:rsid w:val="0069591F"/>
    <w:rsid w:val="006B7010"/>
    <w:rsid w:val="006D241A"/>
    <w:rsid w:val="006D68AF"/>
    <w:rsid w:val="006F5777"/>
    <w:rsid w:val="00702EA3"/>
    <w:rsid w:val="007145FF"/>
    <w:rsid w:val="007150F6"/>
    <w:rsid w:val="00727FF3"/>
    <w:rsid w:val="007354A1"/>
    <w:rsid w:val="00751515"/>
    <w:rsid w:val="00753F30"/>
    <w:rsid w:val="00785232"/>
    <w:rsid w:val="007C3ED0"/>
    <w:rsid w:val="007E16D9"/>
    <w:rsid w:val="00806A76"/>
    <w:rsid w:val="00811C9D"/>
    <w:rsid w:val="00816C80"/>
    <w:rsid w:val="0083187B"/>
    <w:rsid w:val="00841BCD"/>
    <w:rsid w:val="008702B4"/>
    <w:rsid w:val="0087707A"/>
    <w:rsid w:val="008826C1"/>
    <w:rsid w:val="008E3395"/>
    <w:rsid w:val="008F3120"/>
    <w:rsid w:val="009042BD"/>
    <w:rsid w:val="00920891"/>
    <w:rsid w:val="00924A4E"/>
    <w:rsid w:val="00935A8D"/>
    <w:rsid w:val="00977E1D"/>
    <w:rsid w:val="00995DC1"/>
    <w:rsid w:val="0099725E"/>
    <w:rsid w:val="009F3674"/>
    <w:rsid w:val="00A22B78"/>
    <w:rsid w:val="00A25AE5"/>
    <w:rsid w:val="00A40F90"/>
    <w:rsid w:val="00A766AD"/>
    <w:rsid w:val="00A8046D"/>
    <w:rsid w:val="00A8407B"/>
    <w:rsid w:val="00A907CB"/>
    <w:rsid w:val="00AA1B0E"/>
    <w:rsid w:val="00AC5CA7"/>
    <w:rsid w:val="00AE51A7"/>
    <w:rsid w:val="00AF4B6C"/>
    <w:rsid w:val="00B1060A"/>
    <w:rsid w:val="00B26D77"/>
    <w:rsid w:val="00B320AD"/>
    <w:rsid w:val="00B613CF"/>
    <w:rsid w:val="00B63069"/>
    <w:rsid w:val="00B67E3F"/>
    <w:rsid w:val="00BA1B4C"/>
    <w:rsid w:val="00BA6E48"/>
    <w:rsid w:val="00BB6036"/>
    <w:rsid w:val="00BF2218"/>
    <w:rsid w:val="00BF25C7"/>
    <w:rsid w:val="00C1368E"/>
    <w:rsid w:val="00C13B29"/>
    <w:rsid w:val="00C40FE2"/>
    <w:rsid w:val="00C46499"/>
    <w:rsid w:val="00CC259C"/>
    <w:rsid w:val="00CD229C"/>
    <w:rsid w:val="00CD7492"/>
    <w:rsid w:val="00CE2F19"/>
    <w:rsid w:val="00CE3A6B"/>
    <w:rsid w:val="00CF7485"/>
    <w:rsid w:val="00D00211"/>
    <w:rsid w:val="00D06309"/>
    <w:rsid w:val="00D13A0F"/>
    <w:rsid w:val="00D23E0E"/>
    <w:rsid w:val="00D351EA"/>
    <w:rsid w:val="00D400AE"/>
    <w:rsid w:val="00D43403"/>
    <w:rsid w:val="00D55715"/>
    <w:rsid w:val="00D62E71"/>
    <w:rsid w:val="00D740CA"/>
    <w:rsid w:val="00D81F73"/>
    <w:rsid w:val="00D83E87"/>
    <w:rsid w:val="00D84636"/>
    <w:rsid w:val="00D85728"/>
    <w:rsid w:val="00D91DE2"/>
    <w:rsid w:val="00DB785E"/>
    <w:rsid w:val="00DE35F7"/>
    <w:rsid w:val="00DF2997"/>
    <w:rsid w:val="00DF3461"/>
    <w:rsid w:val="00DF7E0E"/>
    <w:rsid w:val="00E12959"/>
    <w:rsid w:val="00E17011"/>
    <w:rsid w:val="00E27CC0"/>
    <w:rsid w:val="00E810FB"/>
    <w:rsid w:val="00EB59D6"/>
    <w:rsid w:val="00EC7BC3"/>
    <w:rsid w:val="00ED7600"/>
    <w:rsid w:val="00F1362C"/>
    <w:rsid w:val="00F50BCA"/>
    <w:rsid w:val="00F81907"/>
    <w:rsid w:val="00F824F5"/>
    <w:rsid w:val="00F95BD5"/>
    <w:rsid w:val="00FA546D"/>
    <w:rsid w:val="00FC29B9"/>
    <w:rsid w:val="00FC6AA0"/>
    <w:rsid w:val="00FC6FD3"/>
    <w:rsid w:val="00FD107E"/>
    <w:rsid w:val="00FE27BA"/>
    <w:rsid w:val="00FF5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4C34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B3">
    <w:name w:val="B3"/>
    <w:basedOn w:val="Normal"/>
    <w:rsid w:val="00B1060A"/>
    <w:pPr>
      <w:spacing w:after="180" w:line="240" w:lineRule="auto"/>
      <w:ind w:left="1135" w:hanging="284"/>
    </w:pPr>
    <w:rPr>
      <w:rFonts w:eastAsia="宋体" w:cs="Times New Roman"/>
      <w:szCs w:val="20"/>
      <w:lang w:val="en-GB"/>
    </w:rPr>
  </w:style>
  <w:style w:type="table" w:customStyle="1" w:styleId="TableGrid1">
    <w:name w:val="Table Grid1"/>
    <w:basedOn w:val="TableNormal"/>
    <w:next w:val="TableGrid"/>
    <w:uiPriority w:val="39"/>
    <w:rsid w:val="001A7AC6"/>
    <w:pPr>
      <w:spacing w:after="0" w:line="240" w:lineRule="auto"/>
    </w:pPr>
    <w:rPr>
      <w:rFonts w:ascii="Arial" w:eastAsiaTheme="minorEastAsia"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rsid w:val="001A7AC6"/>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rsid w:val="001A7AC6"/>
    <w:rPr>
      <w:rFonts w:ascii="Arial" w:eastAsia="宋体" w:hAnsi="Arial" w:cs="Times New Roman"/>
      <w:sz w:val="18"/>
      <w:szCs w:val="20"/>
      <w:lang w:val="en-GB"/>
    </w:rPr>
  </w:style>
  <w:style w:type="table" w:customStyle="1" w:styleId="TableGrid2">
    <w:name w:val="Table Grid2"/>
    <w:basedOn w:val="TableNormal"/>
    <w:rsid w:val="00FD107E"/>
    <w:pPr>
      <w:spacing w:after="0" w:line="240" w:lineRule="auto"/>
    </w:pPr>
    <w:rPr>
      <w:rFonts w:ascii="CG Times (WN)" w:eastAsia="宋体"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10060">
      <w:bodyDiv w:val="1"/>
      <w:marLeft w:val="0"/>
      <w:marRight w:val="0"/>
      <w:marTop w:val="0"/>
      <w:marBottom w:val="0"/>
      <w:divBdr>
        <w:top w:val="none" w:sz="0" w:space="0" w:color="auto"/>
        <w:left w:val="none" w:sz="0" w:space="0" w:color="auto"/>
        <w:bottom w:val="none" w:sz="0" w:space="0" w:color="auto"/>
        <w:right w:val="none" w:sz="0" w:space="0" w:color="auto"/>
      </w:divBdr>
    </w:div>
    <w:div w:id="269899215">
      <w:bodyDiv w:val="1"/>
      <w:marLeft w:val="0"/>
      <w:marRight w:val="0"/>
      <w:marTop w:val="0"/>
      <w:marBottom w:val="0"/>
      <w:divBdr>
        <w:top w:val="none" w:sz="0" w:space="0" w:color="auto"/>
        <w:left w:val="none" w:sz="0" w:space="0" w:color="auto"/>
        <w:bottom w:val="none" w:sz="0" w:space="0" w:color="auto"/>
        <w:right w:val="none" w:sz="0" w:space="0" w:color="auto"/>
      </w:divBdr>
    </w:div>
    <w:div w:id="430391652">
      <w:bodyDiv w:val="1"/>
      <w:marLeft w:val="0"/>
      <w:marRight w:val="0"/>
      <w:marTop w:val="0"/>
      <w:marBottom w:val="0"/>
      <w:divBdr>
        <w:top w:val="none" w:sz="0" w:space="0" w:color="auto"/>
        <w:left w:val="none" w:sz="0" w:space="0" w:color="auto"/>
        <w:bottom w:val="none" w:sz="0" w:space="0" w:color="auto"/>
        <w:right w:val="none" w:sz="0" w:space="0" w:color="auto"/>
      </w:divBdr>
    </w:div>
    <w:div w:id="540678472">
      <w:bodyDiv w:val="1"/>
      <w:marLeft w:val="0"/>
      <w:marRight w:val="0"/>
      <w:marTop w:val="0"/>
      <w:marBottom w:val="0"/>
      <w:divBdr>
        <w:top w:val="none" w:sz="0" w:space="0" w:color="auto"/>
        <w:left w:val="none" w:sz="0" w:space="0" w:color="auto"/>
        <w:bottom w:val="none" w:sz="0" w:space="0" w:color="auto"/>
        <w:right w:val="none" w:sz="0" w:space="0" w:color="auto"/>
      </w:divBdr>
    </w:div>
    <w:div w:id="562301449">
      <w:bodyDiv w:val="1"/>
      <w:marLeft w:val="0"/>
      <w:marRight w:val="0"/>
      <w:marTop w:val="0"/>
      <w:marBottom w:val="0"/>
      <w:divBdr>
        <w:top w:val="none" w:sz="0" w:space="0" w:color="auto"/>
        <w:left w:val="none" w:sz="0" w:space="0" w:color="auto"/>
        <w:bottom w:val="none" w:sz="0" w:space="0" w:color="auto"/>
        <w:right w:val="none" w:sz="0" w:space="0" w:color="auto"/>
      </w:divBdr>
    </w:div>
    <w:div w:id="879052382">
      <w:bodyDiv w:val="1"/>
      <w:marLeft w:val="0"/>
      <w:marRight w:val="0"/>
      <w:marTop w:val="0"/>
      <w:marBottom w:val="0"/>
      <w:divBdr>
        <w:top w:val="none" w:sz="0" w:space="0" w:color="auto"/>
        <w:left w:val="none" w:sz="0" w:space="0" w:color="auto"/>
        <w:bottom w:val="none" w:sz="0" w:space="0" w:color="auto"/>
        <w:right w:val="none" w:sz="0" w:space="0" w:color="auto"/>
      </w:divBdr>
    </w:div>
    <w:div w:id="923225083">
      <w:bodyDiv w:val="1"/>
      <w:marLeft w:val="0"/>
      <w:marRight w:val="0"/>
      <w:marTop w:val="0"/>
      <w:marBottom w:val="0"/>
      <w:divBdr>
        <w:top w:val="none" w:sz="0" w:space="0" w:color="auto"/>
        <w:left w:val="none" w:sz="0" w:space="0" w:color="auto"/>
        <w:bottom w:val="none" w:sz="0" w:space="0" w:color="auto"/>
        <w:right w:val="none" w:sz="0" w:space="0" w:color="auto"/>
      </w:divBdr>
    </w:div>
    <w:div w:id="1317104822">
      <w:bodyDiv w:val="1"/>
      <w:marLeft w:val="0"/>
      <w:marRight w:val="0"/>
      <w:marTop w:val="0"/>
      <w:marBottom w:val="0"/>
      <w:divBdr>
        <w:top w:val="none" w:sz="0" w:space="0" w:color="auto"/>
        <w:left w:val="none" w:sz="0" w:space="0" w:color="auto"/>
        <w:bottom w:val="none" w:sz="0" w:space="0" w:color="auto"/>
        <w:right w:val="none" w:sz="0" w:space="0" w:color="auto"/>
      </w:divBdr>
    </w:div>
    <w:div w:id="1578394852">
      <w:bodyDiv w:val="1"/>
      <w:marLeft w:val="0"/>
      <w:marRight w:val="0"/>
      <w:marTop w:val="0"/>
      <w:marBottom w:val="0"/>
      <w:divBdr>
        <w:top w:val="none" w:sz="0" w:space="0" w:color="auto"/>
        <w:left w:val="none" w:sz="0" w:space="0" w:color="auto"/>
        <w:bottom w:val="none" w:sz="0" w:space="0" w:color="auto"/>
        <w:right w:val="none" w:sz="0" w:space="0" w:color="auto"/>
      </w:divBdr>
    </w:div>
    <w:div w:id="194348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D28C5-73CF-4FFA-87E8-52296F34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62</cp:revision>
  <dcterms:created xsi:type="dcterms:W3CDTF">2018-03-31T07:44:00Z</dcterms:created>
  <dcterms:modified xsi:type="dcterms:W3CDTF">2019-02-15T20:26:00Z</dcterms:modified>
</cp:coreProperties>
</file>